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VVGEG — Verjährung</w:t>
      </w:r>
    </w:p>
    <w:p>
      <w:r>
        <w:rPr>
          <w:color w:val="555555"/>
          <w:sz w:val="18"/>
        </w:rPr>
        <w:t xml:space="preserve">Einführungsgesetz zum 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195 des Bürgerlichen Gesetzbuchs ist auf Ansprüche anzuwenden, die am 1. Januar 2008 noch nicht verjährt sind.</w:t>
      </w:r>
    </w:p>
    <w:p>
      <w:r>
        <w:t xml:space="preserve">(2) Wenn die Verjährungsfrist nach § 195 des Bürgerlichen Gesetzbuchs länger ist als die Frist nach § 12 Abs. 1 des Gesetzes über den Versicherungsvertrag in der bis zum 31. Dezember 2007 geltenden Fassung, ist die Verjährung mit dem Ablauf der in § 12 Abs. 1 des Gesetzes über den Versicherungsvertrag in der bis zum 31. Dezember 2007 geltenden Fassung bestimmten Frist vollendet.</w:t>
      </w:r>
    </w:p>
    <w:p>
      <w:r>
        <w:t xml:space="preserve">(3) Wenn die Verjährungsfrist nach § 195 des Bürgerlichen Gesetzbuchs kürzer ist als die Frist nach § 12 Abs. 1 des Gesetzes über den Versicherungsvertrag in der bis zum 31. Dezember 2007 geltenden Fassung, wird die kürzere Frist vom 1. Januar 2008 an berechnet. Läuft jedoch die längere Frist nach § 12 Abs. 1 des Gesetzes über den Versicherungsvertrag in der bis zum 31. Dezember 2007 geltenden Fassung früher als die Frist nach § 195 des Bürgerlichen Gesetzbuchs ab, ist die Verjährung mit dem Ablauf der längeren Frist vollendet.</w:t>
      </w:r>
    </w:p>
    <w:p>
      <w:r>
        <w:t xml:space="preserve">(4) Die Absätze 1 bis 3 sind entsprechend auf Fristen anzuwenden, die für die Geltendmachung oder den Erwerb oder Verlust eines Rechtes maßgebend sind.</w:t>
      </w:r>
    </w:p>
    <w:p>
      <w:r>
        <w:rPr>
          <w:color w:val="555555"/>
          <w:sz w:val="17"/>
        </w:rPr>
        <w:t xml:space="preserve">Zitiervorschlag: Art 3 VVGEG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