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VVG-InfoV — Übergangsvorschrift</w:t>
      </w:r>
    </w:p>
    <w:p>
      <w:r>
        <w:rPr>
          <w:color w:val="555555"/>
          <w:sz w:val="18"/>
        </w:rPr>
        <w:t xml:space="preserve">VVG-Informationspflichtenverordnung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Versicherungsprodukte, die weder Versicherungsanlageprodukt im Sinne der Verordnung (EU) Nr. 1286/2014 noch Versicherungsprodukt im Sinne des Anhangs I der Richtlinie 2009/138/EG sind, kann der Versicherer bis einschließlich 31. Dezember 2018 das Produktinformationsblatt nach § 4 in seiner bis 13. März 2018 geltenden Fassung gestalten.</w:t>
      </w:r>
    </w:p>
    <w:p>
      <w:r>
        <w:rPr>
          <w:color w:val="555555"/>
          <w:sz w:val="17"/>
        </w:rPr>
        <w:t xml:space="preserve">Zitiervorschlag: § 7 VVG-InfoV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https://recht.nulegal.eu/gesetze/VVG-InfoV/7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