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VVG-InfoV — Informationspflichten während der Laufzeit des Vertrages</w:t>
      </w:r>
    </w:p>
    <w:p>
      <w:r>
        <w:rPr>
          <w:color w:val="555555"/>
          <w:sz w:val="18"/>
        </w:rPr>
        <w:t xml:space="preserve">VVG-Informationspflichtenverordnung</w:t>
      </w:r>
    </w:p>
    <w:p>
      <w:r>
        <w:rPr>
          <w:color w:val="555555"/>
          <w:sz w:val="18"/>
        </w:rPr>
        <w:t xml:space="preserve">Stand: 10.06.2019 (konsolidierte Textfassung, kein amtliches Inkrafttretensdatum)</w:t>
      </w:r>
    </w:p>
    <w:p>
      <w:r>
        <w:t xml:space="preserve">(1) Der Versicherer hat dem Versicherungsnehmer während der Laufzeit des Versicherungsvertrages folgende Informationen mitzuteilen:</w:t>
      </w:r>
    </w:p>
    <w:p>
      <w:pPr>
        <w:ind w:left="420"/>
      </w:pPr>
      <w:r>
        <w:t xml:space="preserve">1. jede Änderung der Identität oder der ladungsfähigen Anschrift des Versicherers und der etwaigen Niederlassung, über die der Vertrag abgeschlossen worden ist;</w:t>
      </w:r>
    </w:p>
    <w:p>
      <w:pPr>
        <w:ind w:left="420"/>
      </w:pPr>
      <w:r>
        <w:t xml:space="preserve">2. Änderungen bei den Angaben nach § 1 Abs. 1 Nr. 6 Buchstabe b, Nr. 7 bis 9 und 14 sowie nach § 2 Abs. 1 Nr. 3 bis 7, sofern sie sich aus Änderungen von Rechtsvorschriften ergeben;</w:t>
      </w:r>
    </w:p>
    <w:p>
      <w:pPr>
        <w:ind w:left="420"/>
      </w:pPr>
      <w:r>
        <w:t xml:space="preserve">3. soweit nach dem Vertrag eine Überschussbeteiligung vorgesehen ist, alljährlich eine Information über den Stand der Überschussbeteiligung sowie Informationen darüber, inwieweit diese Überschussbeteiligung garantiert ist; dies gilt nicht für die Krankenversicherung.</w:t>
      </w:r>
    </w:p>
    <w:p>
      <w:r>
        <w:t xml:space="preserve">(2) Bei der substitutiven Krankenversicherung nach § 146 Absatz 1 des Versicherungsaufsichtsgesetzes hat der Versicherer bei jeder Prämienerhöhung unter Beifügung des Textes der gesetzlichen Regelung auf die Möglichkeit des Tarifwechsels (Umstufung) gemäß § 204 des Versicherungsvertragsgesetzes hinzuweisen. Bei Versicherten, die das 60. Lebensjahr vollendet haben, ist der Versicherungsnehmer auf Tarife, die einen gleichartigen Versicherungsschutz wie die bisher vereinbarten Tarife bieten und bei denen eine Umstufung zu einer Prämienreduzierung führen würde, hinzuweisen. Der Hinweis muss solche Tarife enthalten, die bei verständiger Würdigung der Interessen des Versicherungsnehmers für eine Umstufung besonders in Betracht kommen. Zu den in Satz 2 genannten Tarifen zählen jedenfalls diejenigen Tarife mit Ausnahme des Basistarifs, die jeweils im abgelaufenen Geschäftsjahr den höchsten Neuzugang, gemessen an der Zahl der versicherten Personen, zu verzeichnen hatten. Insgesamt dürfen nicht mehr als zehn Tarife genannt werden. Dabei ist jeweils anzugeben, welche Prämien für die versicherten Personen im Falle eines Wechsels in den jeweiligen Tarif zu zahlen wären. Darüber hinaus ist auf die Möglichkeit eines Wechsels in den Standardtarif oder Basistarif hinzuweisen. Dabei sind die Voraussetzungen des Wechsels in den Standardtarif oder Basistarif, die in diesem Falle zu entrichtende Prämie sowie die Möglichkeit einer Prämienminderung im Basistarif gemäß § 152 Absatz 4 des Versicherungsaufsichtsgesetzes mitzuteilen. Auf Anfrage ist dem Versicherungsnehmer der Übertragungswert gemäß § 146 Absatz 1 Nummer 5 des Versicherungsaufsichtsgesetzes anzugeben; ab dem 1. Januar 2013 ist der Übertragungswert jährlich mitzuteilen.</w:t>
      </w:r>
    </w:p>
    <w:p>
      <w:r>
        <w:rPr>
          <w:color w:val="555555"/>
          <w:sz w:val="17"/>
        </w:rPr>
        <w:t xml:space="preserve">Zitiervorschlag: § 6 VVG-InfoV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https://recht.nulegal.eu/gesetze/VVG-InfoV/6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