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VVG-InfoV — Informationsblatt zu Versicherungsprodukten</w:t>
      </w:r>
    </w:p>
    <w:p>
      <w:r>
        <w:rPr>
          <w:color w:val="555555"/>
          <w:sz w:val="18"/>
        </w:rPr>
        <w:t xml:space="preserve">VVG-Informationspflichtenverordnung</w:t>
      </w:r>
    </w:p>
    <w:p>
      <w:r>
        <w:rPr>
          <w:color w:val="555555"/>
          <w:sz w:val="18"/>
        </w:rPr>
        <w:t xml:space="preserve">Stand: 11.09.2021 (konsolidierte Textfassung, kein amtliches Inkrafttretensdatum)</w:t>
      </w:r>
    </w:p>
    <w:p>
      <w:r>
        <w:t xml:space="preserve">(1) Ist der Versicherungsnehmer ein Verbraucher, so hat der Versicherer ihm ein Informationsblatt zu Versicherungsprodukten zur Verfügung zu stellen.</w:t>
      </w:r>
    </w:p>
    <w:p>
      <w:r>
        <w:t xml:space="preserve">(2) Das Informationsblatt zu Versicherungsprodukten ist nach der Durchführungsverordnung (EU) 2017/1469 der Kommission vom 11. August 2017 zur Festlegung eines Standardformats für das Informationsblatt zu Versicherungsprodukten (ABl. L 209 vom 12.8.2017, S. 19) in ihrer jeweils geltenden Fassung zu erstellen; unter den Überschriften, die nach Artikel 4 Absatz 1 in Verbindung mit dem Anhang oder nach Absatz 4 der Durchführungsverordnung zu verwenden sind, sind die entsprechenden Informationen zu geben. Zusätzlich sind bei Versicherungsprodukten, die kein Versicherungsprodukt im Sinne des Anhangs I der Richtlinie 2009/138/EG des Europäischen Parlaments und des Rates vom 25. November 2009 betreffend die Aufnahme und Ausübung der Versicherungs- und der Rückversicherungstätigkeit (Solvabilität II) (ABl. L 335 vom 17.12.2009, S. 1) sind, die Prämie, die Abschluss- und Vertriebskosten und die Verwaltungskosten (§ 2 Absatz 1 Nummer 1) sowie die sonstigen Kosten (§ 2 Absatz 1 Nummer 2) jeweils in Euro gesondert auszuweisen; die Information ist unter der Überschrift „Prämie; Kosten“ als letzte Information zu geben.</w:t>
      </w:r>
    </w:p>
    <w:p>
      <w:r>
        <w:t xml:space="preserve">(3) Diese Regelung gilt nicht für Versicherungsanlageprodukte im Sinne der Verordnung (EU) Nr. 1286/2014 des Europäischen Parlaments und des Rates vom 26. November 2014 über Basisinformationsblätter für verpackte Anlageprodukte für Kleinanleger und Versicherungsanlageprodukte (PRIIP) (ABl. L 352 vom 9.12.2014, S. 1; L 358 vom 13.12.2014, S. 50), die zuletzt durch die Verordnung (EU) 2019/1156 (ABl. L 188 vom 12.7.2019, S. 55) geändert worden ist, in der jeweils geltenden Fassung oder für Paneuropäische Private Pensionsprodukte im Sinne der Verordnung (EU) 2019/1238 des Europäischen Parlaments und des Rates vom 20. Juni 2019 über ein Paneuropäisches Privates Pensionsprodukt (PEPP) (ABl. L 198 vom 25.7.2019, S. 1) in der jeweils geltenden Fassung.</w:t>
      </w:r>
    </w:p>
    <w:p>
      <w:r>
        <w:rPr>
          <w:color w:val="555555"/>
          <w:sz w:val="17"/>
        </w:rPr>
        <w:t xml:space="preserve">Zitiervorschlag: § 4 VVG-InfoV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https://recht.nulegal.eu/gesetze/VVG-InfoV/4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