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VVG-InfoV — Informationspflichten bei der Krankenversicherung</w:t>
      </w:r>
    </w:p>
    <w:p>
      <w:r>
        <w:rPr>
          <w:color w:val="555555"/>
          <w:sz w:val="18"/>
        </w:rPr>
        <w:t xml:space="preserve">VVG-Informationspflichtenverordnung</w:t>
      </w:r>
    </w:p>
    <w:p>
      <w:r>
        <w:rPr>
          <w:color w:val="555555"/>
          <w:sz w:val="18"/>
        </w:rPr>
        <w:t xml:space="preserve">Stand: 11.09.2021 (konsolidierte Textfassung, kein amtliches Inkrafttretensdatum)</w:t>
      </w:r>
    </w:p>
    <w:p>
      <w:r>
        <w:t xml:space="preserve">(1) Bei der substitutiven Krankenversicherung (§ 146 Absatz 1 des Versicherungsaufsichtsgesetzes) hat der Versicherer dem Versicherungsnehmer gemäß § 7 Abs. 1 Satz 1 des Versicherungsvertragsgesetzes zusätzlich zu den in § 1 Abs. 1 genannten Informationen folgende Informationen zur Verfügung zu stellen:</w:t>
      </w:r>
    </w:p>
    <w:p>
      <w:pPr>
        <w:ind w:left="420"/>
      </w:pPr>
      <w:r>
        <w:t xml:space="preserve">1. Angaben zur Höhe der in die Prämie einkalkulierten Kosten; dabei sind die einkalkulierten Abschlusskosten als einheitlicher Gesamtbetrag und die übrigen einkalkulierten Kosten als Anteil der Jahresprämie unter Angabe der jeweiligen Laufzeit auszuweisen; bei den übrigen einkalkulierten Kosten sind die einkalkulierten Verwaltungskosten zusätzlich gesondert als Anteil der Jahresprämie unter Angabe der jeweiligen Laufzeit auszuweisen;</w:t>
      </w:r>
    </w:p>
    <w:p>
      <w:pPr>
        <w:ind w:left="420"/>
      </w:pPr>
      <w:r>
        <w:t xml:space="preserve">2. Angaben zu möglichen sonstigen Kosten, insbesondere zu Kosten, die einmalig oder aus besonderem Anlass entstehen können;</w:t>
      </w:r>
    </w:p>
    <w:p>
      <w:pPr>
        <w:ind w:left="420"/>
      </w:pPr>
      <w:r>
        <w:t xml:space="preserve">3. Angaben über die Auswirkungen steigender Krankheitskosten auf die zukünftige Beitragsentwicklung;</w:t>
      </w:r>
    </w:p>
    <w:p>
      <w:pPr>
        <w:ind w:left="420"/>
      </w:pPr>
      <w:r>
        <w:t xml:space="preserve">4. Hinweise auf die Möglichkeiten zur Beitragsbegrenzung im Alter, insbesondere auf die Möglichkeiten eines Wechsels in den Basistarif oder in andere Tarife gemäß § 204 des Versicherungsvertragsgesetzes und der Vereinbarung von Leistungsausschlüssen, sowie auf die Möglichkeit einer Prämienminderung gemäß § 152 Absatz 3 und 4 des Versicherungsaufsichtsgesetzes;</w:t>
      </w:r>
    </w:p>
    <w:p>
      <w:pPr>
        <w:ind w:left="420"/>
      </w:pPr>
      <w:r>
        <w:t xml:space="preserve">5. einen Hinweis, dass ein Wechsel von der privaten in die gesetzliche Krankenversicherung in fortgeschrittenem Alter in der Regel ausgeschlossen ist;</w:t>
      </w:r>
    </w:p>
    <w:p>
      <w:pPr>
        <w:ind w:left="420"/>
      </w:pPr>
      <w:r>
        <w:t xml:space="preserve">6. einen Hinweis, dass ein Wechsel innerhalb der privaten Krankenversicherung in fortgeschrittenem Alter mit höheren Beiträgen verbunden sein kann und gegebenenfalls auf einen Wechsel in den Basistarif beschränkt ist;</w:t>
      </w:r>
    </w:p>
    <w:p>
      <w:pPr>
        <w:ind w:left="420"/>
      </w:pPr>
      <w:r>
        <w:t xml:space="preserve">7. eine Übersicht über die Beitragsentwicklung im Zeitraum der dem Angebot vorangehenden zehn Jahre; anzugeben ist, welcher monatliche Beitrag in den dem Angebot vorangehenden zehn Jahren jeweils zu entrichten gewesen wäre, wenn der Versicherungsvertrag zum damaligen Zeitpunkt von einer Person gleichen Geschlechts wie der Antragsteller mit Eintrittsalter von 35 Jahren abgeschlossen worden wäre; besteht der angebotene Tarif noch nicht seit zehn Jahren, so ist auf den Zeitpunkt der Einführung des Tarifs abzustellen, und es ist darauf hinzuweisen, dass die Aussagekraft der Übersicht wegen der kurzen Zeit, die seit der Einführung des Tarifs vergangen ist, begrenzt ist; ergänzend ist die Entwicklung eines vergleichbaren Tarifs, der bereits seit zehn Jahren besteht, darzustellen.</w:t>
      </w:r>
    </w:p>
    <w:p>
      <w:r>
        <w:t xml:space="preserve">(2) Die Angaben zu Absatz 1 Nr. 1, 2 und 7 haben in Euro zu erfolgen.</w:t>
      </w:r>
    </w:p>
    <w:p>
      <w:r>
        <w:rPr>
          <w:color w:val="555555"/>
          <w:sz w:val="17"/>
        </w:rPr>
        <w:t xml:space="preserve">Zitiervorschlag: § 3 VVG-InfoV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https://recht.nulegal.eu/gesetze/VVG-InfoV/3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