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VVG-InfoV — Informationspflichten bei der Lebensversicherung, der Berufsunfähigkeitsversicherung und der Unfallversicherung mit Prämienrückgewähr</w:t>
      </w:r>
    </w:p>
    <w:p>
      <w:r>
        <w:rPr>
          <w:color w:val="555555"/>
          <w:sz w:val="18"/>
        </w:rPr>
        <w:t xml:space="preserve">VVG-Informationspflichtenverordnung</w:t>
      </w:r>
    </w:p>
    <w:p>
      <w:r>
        <w:rPr>
          <w:color w:val="555555"/>
          <w:sz w:val="18"/>
        </w:rPr>
        <w:t xml:space="preserve">Stand: 01.01.2021 (konsolidierte Textfassung, kein amtliches Inkrafttretensdatum)</w:t>
      </w:r>
    </w:p>
    <w:p>
      <w:r>
        <w:t xml:space="preserve">(1) Bei der Lebensversicherung hat der Versicherer dem Versicherungsnehmer gemäß § 7 Abs. 1 Satz 1 des Versicherungsvertragsgesetzes zusätzlich zu den in § 1 Abs. 1 genannten Informationen die folgenden Informationen zur Verfügung zu stellen:</w:t>
      </w:r>
    </w:p>
    <w:p>
      <w:pPr>
        <w:ind w:left="420"/>
      </w:pPr>
      <w:r>
        <w:t xml:space="preserve">1. Angaben zur Höhe der in die Prämie einkalkulierten Kosten; dabei sind die einkalkulierten Abschlusskosten als einheitlicher Gesamtbetrag und die übrigen einkalkulierten Kosten als Anteil der Jahresprämie unter Angabe der jeweiligen Laufzeit auszuweisen; bei den übrigen einkalkulierten Kosten sind die einkalkulierten Verwaltungskosten zusätzlich gesondert als Anteil der Jahresprämie unter Angabe der jeweiligen Laufzeit auszuweisen;</w:t>
      </w:r>
    </w:p>
    <w:p>
      <w:pPr>
        <w:ind w:left="420"/>
      </w:pPr>
      <w:r>
        <w:t xml:space="preserve">2. Angaben zu möglichen sonstigen Kosten, insbesondere zu Kosten, die einmalig oder aus besonderem Anlass entstehen können;</w:t>
      </w:r>
    </w:p>
    <w:p>
      <w:pPr>
        <w:ind w:left="420"/>
      </w:pPr>
      <w:r>
        <w:t xml:space="preserve">3. Angaben über die für die Überschussermittlung und Überschussbeteiligung geltenden Berechnungsgrundsätze und Maßstäbe;</w:t>
      </w:r>
    </w:p>
    <w:p>
      <w:pPr>
        <w:ind w:left="420"/>
      </w:pPr>
      <w:r>
        <w:t xml:space="preserve">4. Angabe der in Betracht kommenden Rückkaufswerte;</w:t>
      </w:r>
    </w:p>
    <w:p>
      <w:pPr>
        <w:ind w:left="420"/>
      </w:pPr>
      <w:r>
        <w:t xml:space="preserve">5. Angaben über den Mindestversicherungsbetrag für eine Umwandlung in eine prämienfreie oder eine prämienreduzierte Versicherung und über die Leistungen aus einer prämienfreien oder prämienreduzierten Versicherung;</w:t>
      </w:r>
    </w:p>
    <w:p>
      <w:pPr>
        <w:ind w:left="420"/>
      </w:pPr>
      <w:r>
        <w:t xml:space="preserve">6. das Ausmaß, in dem die Leistungen nach den Nummern 4 und 5 garantiert sind;</w:t>
      </w:r>
    </w:p>
    <w:p>
      <w:pPr>
        <w:ind w:left="420"/>
      </w:pPr>
      <w:r>
        <w:t xml:space="preserve">7. bei fondsgebundenen Versicherungen Angaben über die der Versicherung zugrunde liegenden Fonds und die Art der darin enthaltenen Vermögenswerte;</w:t>
      </w:r>
    </w:p>
    <w:p>
      <w:pPr>
        <w:ind w:left="420"/>
      </w:pPr>
      <w:r>
        <w:t xml:space="preserve">8. allgemeine Angaben über die für diese Versicherungsart geltende Steuerregelung;</w:t>
      </w:r>
    </w:p>
    <w:p>
      <w:pPr>
        <w:ind w:left="420"/>
      </w:pPr>
      <w:r>
        <w:t xml:space="preserve">9. bei Lebensversicherungsverträgen, die Versicherungsschutz für ein Risiko bieten, bei dem der Eintritt der Verpflichtung des Versicherers gewiss ist, die Minderung der Wertentwicklung durch Kosten in Prozentpunkten (Effektivkosten) bis zum Beginn der Auszahlungsphase.</w:t>
      </w:r>
    </w:p>
    <w:p>
      <w:r>
        <w:t xml:space="preserve">(2) Die Angaben nach Absatz 1 Nr. 1, 2, 4 und 5 haben in Euro zu erfolgen. Bei Absatz 1 Nr. 6 gilt Satz 1 mit der Maßgabe, dass das Ausmaß der Garantie in Euro anzugeben ist.</w:t>
      </w:r>
    </w:p>
    <w:p>
      <w:r>
        <w:t xml:space="preserve">(3) Die vom Versicherer zu übermittelnde Modellrechnung im Sinne von § 154 Abs. 1 des Versicherungsvertragsgesetzes ist mit folgenden Zinssätzen darzustellen:</w:t>
      </w:r>
    </w:p>
    <w:p>
      <w:pPr>
        <w:ind w:left="420"/>
      </w:pPr>
      <w:r>
        <w:t xml:space="preserve">1. dem Höchstrechnungszinssatz, multipliziert mit 1,67,</w:t>
      </w:r>
    </w:p>
    <w:p>
      <w:pPr>
        <w:ind w:left="420"/>
      </w:pPr>
      <w:r>
        <w:t xml:space="preserve">2. dem Zinssatz nach Nummer 1 zuzüglich eines Prozentpunktes und</w:t>
      </w:r>
    </w:p>
    <w:p>
      <w:pPr>
        <w:ind w:left="420"/>
      </w:pPr>
      <w:r>
        <w:t xml:space="preserve">3. dem Zinssatz nach Nummer 1 abzüglich eines Prozentpunktes.</w:t>
      </w:r>
    </w:p>
    <w:p>
      <w:r>
        <w:t xml:space="preserve">(4) Auf die Berufsunfähigkeitsversicherung sind die Absätze 1 und 2 entsprechend anzuwenden. Darüber hinaus ist darauf hinzuweisen, dass der in den Versicherungsbedingungen verwendete Begriff der Berufsunfähigkeit nicht mit dem Begriff der Berufsunfähigkeit oder der Erwerbsminderung im sozialrechtlichen Sinne oder dem Begriff der Berufsunfähigkeit im Sinne der Versicherungsbedingungen in der Krankentagegeldversicherung übereinstimmt.</w:t>
      </w:r>
    </w:p>
    <w:p>
      <w:r>
        <w:t xml:space="preserve">(5) Auf die Unfallversicherung mit Prämienrückgewähr sind Absatz 1 Nr. 3 bis 8 und Absatz 2 entsprechend anzuwenden.</w:t>
      </w:r>
    </w:p>
    <w:p>
      <w:r>
        <w:t xml:space="preserve">(6) Die Effektivkosten gemäß Absatz 1 Nummer 9 werden berechnet wie der Gesamtkostenindikator nach Anhang VI der Delegierten Verordnung (EU) 2017/653 der Kommission vom 8. März 2017 zur Ergänzung der Verordnung (EU) Nr. 1286/2014 des Europäischen Parlaments und des Rates über Basisinformationsblätter für verpackte Anlageprodukte für Kleinanleger und Versicherungsanlageprodukte (PRIIP) durch technische Regulierungsstandards in Bezug auf die Darstellung, den Inhalt, die Überprüfung und die Überarbeitung dieser Basisinformationsblätter sowie die Bedingungen für die Erfüllung der Verpflichtung zu ihrer Bereitstellung (ABl. L 100 vom 12.4.2017, S. 1; L 120 vom 11.5.2017, S. 31; L 186 vom 19.7.2017, S. 17; L 210 vom 15.8.2017, S. 16), die durch die Delegierte Verordnung (EU) 2019/1866 (ABl. L 289 vom 8.11.2019, S. 4) geändert worden ist. Dabei sind die Parameter des angebotenen Vertrags einzusetzen; abweichend davon ist unabhängig von den Parametern des angebotenen Vertrags</w:t>
      </w:r>
    </w:p>
    <w:p>
      <w:pPr>
        <w:ind w:left="420"/>
      </w:pPr>
      <w:r>
        <w:t xml:space="preserve">1. stets die jährliche Wertentwicklung vor Kosten zugrunde zu legen, die bei der Berechnung des Gesamtkostenindikators nach Anhang VI der Delegierten Verordnung (EU) 2017/653 verwendet würde, und</w:t>
      </w:r>
    </w:p>
    <w:p>
      <w:pPr>
        <w:ind w:left="420"/>
      </w:pPr>
      <w:r>
        <w:t xml:space="preserve">2. die in diesem Gesamtkostenindikator enthaltene Kostenkomponente für das biometrische Risiko zu übernehmen, wenn das zugrunde liegende Produkt eine zumindest 90-prozentige Beteiligung an Risikoüberschüssen gewährleistet.</w:t>
      </w:r>
    </w:p>
    <w:p>
      <w:r>
        <w:t xml:space="preserve">Die jährliche Wertentwicklung vor Kosten kann durch einen angemessenen Schätzwert ersetzt werden, wenn der in Satz 2 genannte Gesamtkostenindikator nicht zu berechnen ist. Die Sätze 1 bis 3 sind nicht anzuwenden auf Altersvorsorgeverträge und Basisrentenverträge im Sinne der §§ 1 und 2 des Altersvorsorgeverträge-Zertifizierungsgesetzes.</w:t>
      </w:r>
    </w:p>
    <w:p>
      <w:r>
        <w:rPr>
          <w:color w:val="555555"/>
          <w:sz w:val="17"/>
        </w:rPr>
        <w:t xml:space="preserve">Zitiervorschlag: § 2 VVG-InfoV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https://recht.nulegal.eu/gesetze/VVG-InfoV/2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