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VVG 2008 — Kündigung nach Versicherungsfall</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Nach dem Eintritt des Versicherungsfalles kann jede Vertragspartei das Versicherungsverhältnis kündigen.</w:t>
      </w:r>
    </w:p>
    <w:p>
      <w:r>
        <w:t xml:space="preserve">(2) Die Kündigung ist nur bis zum Ablauf eines Monats seit dem Abschluss der Verhandlungen über die Entschädigung zulässig. Der Versicherer hat eine Kündigungsfrist von einem Monat einzuhalten. Der Versicherungsnehmer kann nicht für einen späteren Zeitpunkt als den Schluss der laufenden Versicherungsperiode kündigen.</w:t>
      </w:r>
    </w:p>
    <w:p>
      <w:r>
        <w:t xml:space="preserve">(3) Bei der Hagelversicherung kann der Versicherer nur für den Schluss der Versicherungsperiode kündigen, in welcher der Versicherungsfall eingetreten ist. Kündigt der Versicherungsnehmer für einen früheren Zeitpunkt als den Schluss dieser Versicherungsperiode, steht dem Versicherer gleichwohl die Prämie für die laufende Versicherungsperiode zu.</w:t>
      </w:r>
    </w:p>
    <w:p>
      <w:r>
        <w:rPr>
          <w:color w:val="555555"/>
          <w:sz w:val="17"/>
        </w:rPr>
        <w:t xml:space="preserve">Zitiervorschlag: § 92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