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VVG 2008 — Übergang von Ersatzansprüchen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Steht dem Versicherungsnehmer ein Ersatzanspruch gegen einen Dritten zu, geht dieser Anspruch auf den Versicherer über, soweit der Versicherer den Schaden ersetzt. Der Übergang kann nicht zum Nachteil des Versicherungsnehmers geltend gemacht werden.</w:t>
      </w:r>
    </w:p>
    <w:p>
      <w:r>
        <w:t xml:space="preserve">(2) Der Versicherungsnehmer hat seinen Ersatzanspruch oder ein zur Sicherung dieses Anspruchs dienendes Recht unter Beachtung der geltenden Form- und Fristvorschriften zu wahren und bei dessen Durchsetzung durch den Versicherer soweit erforderlich mitzuwirken. Verletzt der Versicherungsnehmer diese Obliegenheit vorsätzlich, ist der Versicherer zur Leistung insoweit nicht verpflichtet, als er infolgedessen keinen Ersatz von dem Dritten erlangen kann. Im Fall einer grob fahrlässigen Verletzung der Obliegenheit ist der Versicherer berechtigt, seine Leistung in einem der Schwere des Verschuldens des Versicherungsnehmers entsprechenden Verhältnis zu kürzen; die Beweislast für das Nichtvorliegen einer groben Fahrlässigkeit trägt der Versicherungsnehmer.</w:t>
      </w:r>
    </w:p>
    <w:p>
      <w:r>
        <w:t xml:space="preserve">(3) Richtet sich der Ersatzanspruch des Versicherungsnehmers gegen eine Person, mit der er bei Eintritt des Schadens in häuslicher Gemeinschaft lebt, kann der Übergang nach Absatz 1 nicht geltend gemacht werden, es sei denn, diese Person hat den Schaden vorsätzlich verursacht.</w:t>
      </w:r>
    </w:p>
    <w:p>
      <w:r>
        <w:rPr>
          <w:color w:val="555555"/>
          <w:sz w:val="17"/>
        </w:rPr>
        <w:t xml:space="preserve">Zitiervorschlag: § 86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