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82 VVG 2008 — Abwendung und Minderung des Schadens</w:t>
      </w:r>
    </w:p>
    <w:p>
      <w:r>
        <w:rPr>
          <w:color w:val="555555"/>
          <w:sz w:val="18"/>
        </w:rPr>
        <w:t xml:space="preserve">Versicherungsvertragsgesetz</w:t>
      </w:r>
    </w:p>
    <w:p>
      <w:r>
        <w:rPr>
          <w:color w:val="555555"/>
          <w:sz w:val="18"/>
        </w:rPr>
        <w:t xml:space="preserve">Stand: 10.06.2019 (konsolidierte Textfassung, kein amtliches Inkrafttretensdatum)</w:t>
      </w:r>
    </w:p>
    <w:p>
      <w:r>
        <w:t xml:space="preserve">(1) Der Versicherungsnehmer hat bei Eintritt des Versicherungsfalles nach Möglichkeit für die Abwendung und Minderung des Schadens zu sorgen.</w:t>
      </w:r>
    </w:p>
    <w:p>
      <w:r>
        <w:t xml:space="preserve">(2) Der Versicherungsnehmer hat Weisungen des Versicherers, soweit für ihn zumutbar, zu befolgen sowie Weisungen einzuholen, wenn die Umstände dies gestatten. Erteilen mehrere an dem Versicherungsvertrag beteiligte Versicherer unterschiedliche Weisungen, hat der Versicherungsnehmer nach pflichtgemäßem Ermessen zu handeln.</w:t>
      </w:r>
    </w:p>
    <w:p>
      <w:r>
        <w:t xml:space="preserve">(3) Bei Verletzung einer Obliegenheit nach den Absätzen 1 und 2 ist der Versicherer nicht zur Leistung verpflichtet, wenn der Versicherungsnehmer die Obliegenheit vorsätzlich verletzt hat. Im Fall einer grob fahrlässigen Verletzung ist der Versicherer berechtigt, seine Leistung in einem der Schwere des Verschuldens des Versicherungsnehmers entsprechenden Verhältnis zu kürzen; die Beweislast für das Nichtvorliegen einer groben Fahrlässigkeit trägt der Versicherungsnehmer.</w:t>
      </w:r>
    </w:p>
    <w:p>
      <w:r>
        <w:t xml:space="preserve">(4) Abweichend von Absatz 3 ist der Versicherer zur Leistung verpflichtet, soweit die Verletzung der Obliegenheit weder für die Feststellung des Versicherungsfalles noch für die Feststellung oder den Umfang der Leistungspflicht ursächlich ist. Satz 1 gilt nicht, wenn der Versicherungsnehmer die Obliegenheit arglistig verletzt hat.</w:t>
      </w:r>
    </w:p>
    <w:p>
      <w:r>
        <w:rPr>
          <w:color w:val="555555"/>
          <w:sz w:val="17"/>
        </w:rPr>
        <w:t xml:space="preserve">Zitiervorschlag: § 82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https://recht.nulegal.eu/gesetze/VVG%202008/82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