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VVG 2008 — Herbeiführung des Versicherungsfalles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Versicherer ist nicht zur Leistung verpflichtet, wenn der Versicherungsnehmer vorsätzlich den Versicherungsfall herbeiführt.</w:t>
      </w:r>
    </w:p>
    <w:p>
      <w:r>
        <w:t xml:space="preserve">(2) Führt der Versicherungsnehmer den Versicherungsfall grob fahrlässig herbei, ist der Versicherer berechtigt, seine Leistung in einem der Schwere des Verschuldens des Versicherungsnehmers entsprechenden Verhältnis zu kürzen.</w:t>
      </w:r>
    </w:p>
    <w:p>
      <w:r>
        <w:rPr>
          <w:color w:val="555555"/>
          <w:sz w:val="17"/>
        </w:rPr>
        <w:t xml:space="preserve">Zitiervorschlag: § 81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