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VVG 2008 — Fehlendes versichertes Interesse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Versicherungsnehmer ist nicht zur Zahlung der Prämie verpflichtet, wenn das versicherte Interesse bei Beginn der Versicherung nicht besteht; dies gilt auch, wenn das Interesse bei einer Versicherung, die für ein künftiges Unternehmen oder für ein anderes künftiges Interesse genommen ist, nicht entsteht. Der Versicherer kann jedoch eine angemessene Geschäftsgebühr verlangen.</w:t>
      </w:r>
    </w:p>
    <w:p>
      <w:r>
        <w:t xml:space="preserve">(2) Fällt das versicherte Interesse nach dem Beginn der Versicherung weg, steht dem Versicherer die Prämie zu, die er hätte beanspruchen können, wenn die Versicherung nur bis zu dem Zeitpunkt beantragt worden wäre, zu dem der Versicherer vom Wegfall des Interesses Kenntnis erlangt hat.</w:t>
      </w:r>
    </w:p>
    <w:p>
      <w:r>
        <w:t xml:space="preserve">(3) Hat der Versicherungsnehmer ein nicht bestehendes Interesse in der Absicht versichert, sich dadurch einen rechtswidrigen Vermögensvorteil zu verschaffen, ist der Vertrag nichtig; dem Versicherer steht die Prämie bis zu dem Zeitpunkt zu, zu dem er von den die Nichtigkeit begründenden Umständen Kenntnis erlangt.</w:t>
      </w:r>
    </w:p>
    <w:p>
      <w:r>
        <w:rPr>
          <w:color w:val="555555"/>
          <w:sz w:val="17"/>
        </w:rPr>
        <w:t xml:space="preserve">Zitiervorschlag: § 80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