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7b VVG 2008 — Information bei Versicherungsanlageprodukten</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Bei Produkten, die Versicherungsanlageprodukte im Sinne von Artikel 2 Absatz 1 Nummer 17 der Richtlinie (EU) 2016/97 sind, sind dem Versicherungsnehmer angemessene Informationen über den Vertrieb von Versicherungsanlageprodukten und sämtliche Kosten und Gebühren rechtzeitig vor Abschluss des Vertrags zur Verfügung zu stellen. Diese Informationen enthalten mindestens das Folgende:</w:t>
      </w:r>
    </w:p>
    <w:p>
      <w:pPr>
        <w:ind w:left="420"/>
      </w:pPr>
      <w:r>
        <w:t xml:space="preserve">1. wenn eine Beratung erfolgt, die Information darüber, ob dem Versicherungsnehmer eine regelmäßige Beurteilung der Eignung des Versicherungsanlageprodukts, das diesem Versicherungsnehmer empfohlen wird, gemäß § 7c geboten wird;</w:t>
      </w:r>
    </w:p>
    <w:p>
      <w:pPr>
        <w:ind w:left="420"/>
      </w:pPr>
      <w:r>
        <w:t xml:space="preserve">2. geeignete Leitlinien und Warnhinweise zu den mit Versicherungsanlageprodukten oder mit bestimmten vorgeschlagenen Anlagestrategien verbundenen Risiken;</w:t>
      </w:r>
    </w:p>
    <w:p>
      <w:pPr>
        <w:ind w:left="420"/>
      </w:pPr>
      <w:r>
        <w:t xml:space="preserve">3. Informationen über den Vertrieb des Versicherungsanlageprodukts, einschließlich der Beratungskosten und der Kosten des dem Versicherungsnehmer empfohlenen Versicherungsanlageprodukts;</w:t>
      </w:r>
    </w:p>
    <w:p>
      <w:pPr>
        <w:ind w:left="420"/>
      </w:pPr>
      <w:r>
        <w:t xml:space="preserve">4. wie der Versicherungsnehmer Zahlungen leisten kann, einschließlich Zahlungen Dritter.</w:t>
      </w:r>
    </w:p>
    <w:p>
      <w:r>
        <w:t xml:space="preserve">(2) Die Informationen über alle Kosten und Gebühren, einschließlich Kosten und Gebühren im Zusammenhang mit dem Vertrieb des Versicherungsanlageprodukts, die nicht durch das zugrunde liegende Marktrisiko verursacht werden, sind in zusammengefasster Form zu erteilen; die Gesamtkosten sowie die kumulative Wirkung auf die Anlagerendite müssen verständlich sein; ferner ist dem Versicherungsnehmer auf sein Verlangen eine Aufstellung der Kosten und Gebühren zur Verfügung zu stellen. Diese Informationen werden dem Versicherungsnehmer während der Laufzeit der Anlage regelmäßig, mindestens aber jährlich, zur Verfügung gestellt.</w:t>
      </w:r>
    </w:p>
    <w:p>
      <w:r>
        <w:rPr>
          <w:color w:val="555555"/>
          <w:sz w:val="17"/>
        </w:rPr>
        <w:t xml:space="preserve">Zitiervorschlag: § 7b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