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VVG 2008 — Beseitigung der Mehrfachversicherung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Hat der Versicherungsnehmer den Vertrag, durch den die Mehrfachversicherung entstanden ist, ohne Kenntnis von dem Entstehen der Mehrfachversicherung geschlossen, kann er verlangen, dass der später geschlossene Vertrag aufgehoben oder die Versicherungssumme unter verhältnismäßiger Minderung der Prämie auf den Teilbetrag herabgesetzt wird, der durch die frühere Versicherung nicht gedeckt ist.</w:t>
      </w:r>
    </w:p>
    <w:p>
      <w:r>
        <w:t xml:space="preserve">(2) Absatz 1 ist auch anzuwenden, wenn die Mehrfachversicherung dadurch entstanden ist, dass nach Abschluss der mehreren Versicherungsverträge der Versicherungswert gesunken ist. Sind in diesem Fall die mehreren Versicherungsverträge gleichzeitig oder im Einvernehmen der Versicherer geschlossen worden, kann der Versicherungsnehmer nur die verhältnismäßige Herabsetzung der Versicherungssummen und der Prämien verlangen.</w:t>
      </w:r>
    </w:p>
    <w:p>
      <w:r>
        <w:rPr>
          <w:color w:val="555555"/>
          <w:sz w:val="17"/>
        </w:rPr>
        <w:t xml:space="preserve">Zitiervorschlag: § 79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https://recht.nulegal.eu/gesetze/VVG%202008/79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