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VVG 2008 — Information des Versicherungsnehmers; Verordnungsermächtigung</w:t>
      </w:r>
    </w:p>
    <w:p>
      <w:r>
        <w:rPr>
          <w:color w:val="555555"/>
          <w:sz w:val="18"/>
        </w:rPr>
        <w:t xml:space="preserve">Versicherungsvertragsgesetz</w:t>
      </w:r>
    </w:p>
    <w:p>
      <w:r>
        <w:rPr>
          <w:color w:val="555555"/>
          <w:sz w:val="18"/>
        </w:rPr>
        <w:t xml:space="preserve">Stand: 19.06.2026 (konsolidierte Textfassung, kein amtliches Inkrafttretensdatum)</w:t>
      </w:r>
    </w:p>
    <w:p>
      <w:r>
        <w:t xml:space="preserve">(1) Der Versicherer hat dem Versicherungsnehmer rechtzeitig vor Abgabe von dessen Vertragserklärung seine Vertragsbestimmungen einschließlich der Allgemeinen Versicherungsbedingungen sowie die in einer Rechtsverordnung nach Absatz 2 bestimmten Informationen in Textform mitzuteilen. Die Mitteilungen sind in einer dem eingesetzten Kommunikationsmittel entsprechenden Weise klar und verständlich zu übermitteln. Wird der Vertrag auf Verlangen des Versicherungsnehmers telefonisch oder unter Verwendung eines anderen Kommunikationsmittels geschlossen, das die Information in Textform vor der Vertragserklärung des Versicherungsnehmers nicht gestattet, muss die Information unverzüglich nach Vertragsschluss nachgeholt werden; dies gilt auch, wenn der Versicherungsnehmer durch eine gesonderte schriftliche Erklärung auf eine Information vor Abgabe seiner Vertragserklärung ausdrücklich verzichtet.</w:t>
      </w:r>
    </w:p>
    <w:p>
      <w:r>
        <w:t xml:space="preserve">(2) Das Bundesministerium der Justiz und für Verbraucherschutz wird ermächtigt, im Einvernehmen mit dem Bundesministerium der Finanzen durch Rechtsverordnung ohne Zustimmung des Bundesrates zum Zweck einer umfassenden Information des Versicherungsnehmers festzulegen,</w:t>
      </w:r>
    </w:p>
    <w:p>
      <w:pPr>
        <w:ind w:left="420"/>
      </w:pPr>
      <w:r>
        <w:t xml:space="preserve">1. welche Einzelheiten des Vertrags, insbesondere zum Versicherer, zur angebotenen Leistung und zu den Allgemeinen Versicherungsbedingungen sowie zum Bestehen eines Widerrufsrechts, dem Versicherungsnehmer mitzuteilen sind,</w:t>
      </w:r>
    </w:p>
    <w:p>
      <w:pPr>
        <w:ind w:left="420"/>
      </w:pPr>
      <w:r>
        <w:t xml:space="preserve">2. welche weiteren Informationen dem Versicherungsnehmer bei der Lebensversicherung, insbesondere über die zu erwartenden Leistungen, ihre Ermittlung und Berechnung, über eine Modellrechnung sowie über die Abschluss- und Vertriebskosten und die Verwaltungskosten, soweit eine Verrechnung mit Prämien erfolgt, und über sonstige Kosten mitzuteilen sind,</w:t>
      </w:r>
    </w:p>
    <w:p>
      <w:pPr>
        <w:ind w:left="420"/>
      </w:pPr>
      <w:r>
        <w:t xml:space="preserve">3. welche weiteren Informationen bei der Krankenversicherung, insbesondere über die Prämienentwicklung und -gestaltung sowie die Abschluss- und Vertriebskosten und die Verwaltungskosten, mitzuteilen sind,</w:t>
      </w:r>
    </w:p>
    <w:p>
      <w:pPr>
        <w:ind w:left="420"/>
      </w:pPr>
      <w:r>
        <w:t xml:space="preserve">4. was dem Versicherungsnehmer mitzuteilen ist, wenn der Versicherer mit ihm telefonisch Kontakt aufgenommen hat, und</w:t>
      </w:r>
    </w:p>
    <w:p>
      <w:pPr>
        <w:ind w:left="420"/>
      </w:pPr>
      <w:r>
        <w:t xml:space="preserve">5. in welcher Art und Weise die Informationen zu erteilen sind.</w:t>
      </w:r>
    </w:p>
    <w:p>
      <w:r>
        <w:t xml:space="preserve">(3) Bei der Festlegung der Mitteilungen nach Absatz 2 sind zu beachten:</w:t>
      </w:r>
    </w:p>
    <w:p>
      <w:pPr>
        <w:ind w:left="420"/>
      </w:pPr>
      <w:r>
        <w:t xml:space="preserve">1. die vorgeschriebenen Angaben nach der Richtlinie 2009/138/EG in der Fassung vom 27. November 2024,</w:t>
      </w:r>
    </w:p>
    <w:p>
      <w:pPr>
        <w:ind w:left="420"/>
      </w:pPr>
      <w:r>
        <w:t xml:space="preserve">2. die vorgeschriebenen Angaben nach der Richtlinie 2011/83/EU in der Fassung vom 28. Februar 2024,</w:t>
      </w:r>
    </w:p>
    <w:p>
      <w:pPr>
        <w:ind w:left="420"/>
      </w:pPr>
      <w:r>
        <w:t xml:space="preserve">3. die vorgeschriebenen Angaben nach der Richtlinie (EU) 2016/97 in der Fassung vom 5. Dezember 2023,</w:t>
      </w:r>
    </w:p>
    <w:p>
      <w:pPr>
        <w:ind w:left="420"/>
      </w:pPr>
      <w:r>
        <w:t xml:space="preserve">4. die technischen Durchführungsstandards, die die Europäische Aufsichtsbehörde für das Versicherungswesen und die betriebliche Altersversorgung nach der Richtlinie (EU) 2016/97 in der Fassung vom 5. Dezember 2023 erarbeitet und die von der Kommission der Europäischen Union nach Artikel 15 der Verordnung (EU) Nr. 1094/2010 in der Fassung vom 27. November 2024 erlassen worden sind, und</w:t>
      </w:r>
    </w:p>
    <w:p>
      <w:pPr>
        <w:ind w:left="420"/>
      </w:pPr>
      <w:r>
        <w:t xml:space="preserve">5. die delegierten Rechtsakte, die von der Kommission nach Artikel 29 Absatz 4 Buchstabe b und Artikel 30 Absatz 6 der Richtlinie (EU) 2016/97 in der Fassung vom 5. Dezember 2023, jeweils in Verbindung mit Artikel 38 der Richtlinie (EU) 2016/97 in der Fassung vom 5. Dezember 2023, erlassen worden sind.</w:t>
      </w:r>
    </w:p>
    <w:p>
      <w:r>
        <w:t xml:space="preserve">(4) In der Rechtsverordnung nach Absatz 2 ist ferner zu bestimmen, was der Versicherer während der Laufzeit des Vertrags in Textform mitteilen muss; dies gilt insbesondere bei Änderungen früherer Informationen, ferner bei der Krankenversicherung bei Prämienerhöhungen und hinsichtlich der Möglichkeit eines Tarifwechsels sowie bei der Lebensversicherung mit Überschussbeteiligung hinsichtlich der Entwicklung der Ansprüche des Versicherungsnehmers.</w:t>
      </w:r>
    </w:p>
    <w:p>
      <w:r>
        <w:t xml:space="preserve">(5) Die Absätze 1 bis 4 sind auf Versicherungsverträge über ein Großrisiko im Sinn des § 210 Absatz 2 nicht anzuwenden. Ist bei einem solchen Vertrag der Versicherungsnehmer eine natürliche Person, hat ihm der Versicherer vor Vertragsschluss das anwendbare Recht und die zuständige Aufsichtsbehörde in Textform mitzuteilen.</w:t>
      </w:r>
    </w:p>
    <w:p>
      <w:r>
        <w:rPr>
          <w:color w:val="555555"/>
          <w:sz w:val="17"/>
        </w:rPr>
        <w:t xml:space="preserve">Zitiervorschlag: § 7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