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VVG 2008 — Verletzung der Anmeldepflicht</w:t>
      </w:r>
    </w:p>
    <w:p>
      <w:r>
        <w:rPr>
          <w:color w:val="555555"/>
          <w:sz w:val="18"/>
        </w:rPr>
        <w:t xml:space="preserve">Versicherungsvertragsgesetz</w:t>
      </w:r>
    </w:p>
    <w:p>
      <w:r>
        <w:rPr>
          <w:color w:val="555555"/>
          <w:sz w:val="18"/>
        </w:rPr>
        <w:t xml:space="preserve">Stand: 10.06.2019 (konsolidierte Textfassung, kein amtliches Inkrafttretensdatum)</w:t>
      </w:r>
    </w:p>
    <w:p>
      <w:r>
        <w:t xml:space="preserve">(1) Hat der Versicherungsnehmer die Anmeldung eines versicherten Risikos oder der vereinbarten Prämiengrundlage oder die Beantragung der Deckungszusage unterlassen oder fehlerhaft vorgenommen, ist der Versicherer nicht zur Leistung verpflichtet. Dies gilt nicht, wenn der Versicherungsnehmer die Anmelde- oder Antragspflicht weder vorsätzlich noch grob fahrlässig verletzt hat und die Anmeldung oder den Antrag unverzüglich nach Kenntniserlangung von dem Fehler nachholt oder berichtigt.</w:t>
      </w:r>
    </w:p>
    <w:p>
      <w:r>
        <w:t xml:space="preserve">(2) Verletzt der Versicherungsnehmer die Anmelde- oder Antragspflicht vorsätzlich, kann der Versicherer den Vertrag fristlos kündigen. Die Versicherung von Einzelrisiken, für die der Versicherungsschutz begonnen hat, bleibt, wenn anderes nicht vereinbart ist, über das Ende der laufenden Versicherung hinaus bis zu dem Zeitpunkt bestehen, zu dem die vereinbarte Dauer der Versicherung dieser Einzelrisiken endet. Der Versicherer kann ferner die Prämie verlangen, die bis zum Wirksamwerden der Kündigung zu zahlen gewesen wäre, wenn der Versicherungsnehmer die Anmeldepflicht erfüllt hätte.</w:t>
      </w:r>
    </w:p>
    <w:p>
      <w:r>
        <w:rPr>
          <w:color w:val="555555"/>
          <w:sz w:val="17"/>
        </w:rPr>
        <w:t xml:space="preserve">Zitiervorschlag: § 54 VVG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https://recht.nulegal.eu/gesetze/VVG%202008/54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