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VVG 2008 — Prämienzahlung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Der Beginn des Versicherungsschutzes kann von der Zahlung der Prämie abhängig gemacht werden, sofern der Versicherer den Versicherungsnehmer durch gesonderte Mitteilung in Textform oder durch einen auffälligen Hinweis im Versicherungsschein auf diese Voraussetzung aufmerksam gemacht hat.</w:t>
      </w:r>
    </w:p>
    <w:p>
      <w:r>
        <w:t xml:space="preserve">(2) Von Absatz 1 kann nicht zum Nachteil des Versicherungsnehmers abgewichen werden.</w:t>
      </w:r>
    </w:p>
    <w:p>
      <w:r>
        <w:rPr>
          <w:color w:val="555555"/>
          <w:sz w:val="17"/>
        </w:rPr>
        <w:t xml:space="preserve">Zitiervorschlag: § 51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