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42 VVG 2008 — Abweichende Vereinbarungen</w:t>
      </w:r>
    </w:p>
    <w:p>
      <w:r>
        <w:rPr>
          <w:color w:val="555555"/>
          <w:sz w:val="18"/>
        </w:rPr>
        <w:t xml:space="preserve">Versicherungsvertragsgesetz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Von § 33 Abs. 2 und den §§ 37 bis 41 kann nicht zum Nachteil des Versicherungsnehmers abgewichen werden.</w:t>
      </w:r>
    </w:p>
    <w:p>
      <w:r>
        <w:rPr>
          <w:color w:val="555555"/>
          <w:sz w:val="17"/>
        </w:rPr>
        <w:t xml:space="preserve">Zitiervorschlag: § 42 VVG 2008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https://recht.nulegal.eu/gesetze/VVG%202008/42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