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VVG 2008 — Kündigung bei Prämienerhöhung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Erhöht der Versicherer auf Grund einer Anpassungsklausel die Prämie, ohne dass sich der Umfang des Versicherungsschutzes entsprechend ändert, kann der Versicherungsnehmer den Vertrag innerhalb eines Monats nach Zugang der Mitteilung des Versicherers mit sofortiger Wirkung, frühestens jedoch zum Zeitpunkt des Wirksamwerdens der Erhöhung, kündigen. Der Versicherer hat den Versicherungsnehmer in der Mitteilung auf das Kündigungsrecht hinzuweisen. Die Mitteilung muss dem Versicherungsnehmer spätestens einen Monat vor dem Wirksamwerden der Erhöhung der Prämie zugehen.</w:t>
      </w:r>
    </w:p>
    <w:p>
      <w:r>
        <w:t xml:space="preserve">(2) Absatz 1 gilt entsprechend, wenn der Versicherer auf Grund einer Anpassungsklausel den Umfang des Versicherungsschutzes vermindert, ohne die Prämie entsprechend herabzusetzen.</w:t>
      </w:r>
    </w:p>
    <w:p>
      <w:r>
        <w:rPr>
          <w:color w:val="555555"/>
          <w:sz w:val="17"/>
        </w:rPr>
        <w:t xml:space="preserve">Zitiervorschlag: § 40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