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VVG 2008 — Vorzeitige Vertragsbeendigung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Im Fall der Beendigung des Versicherungsverhältnisses vor Ablauf der Versicherungsperiode steht dem Versicherer für diese Versicherungsperiode nur derjenige Teil der Prämie zu, der dem Zeitraum entspricht, in dem Versicherungsschutz bestanden hat. Wird das Versicherungsverhältnis durch Rücktritt auf Grund des § 19 Abs. 2 oder durch Anfechtung des Versicherers wegen arglistiger Täuschung beendet, steht dem Versicherer die Prämie bis zum Wirksamwerden der Rücktritts- oder Anfechtungserklärung zu. Tritt der Versicherer nach § 37 Abs. 1 zurück, kann er eine angemessene Geschäftsgebühr verlangen.</w:t>
      </w:r>
    </w:p>
    <w:p>
      <w:r>
        <w:t xml:space="preserve">(2) Endet das Versicherungsverhältnis nach § 16, kann der Versicherungsnehmer den auf die Zeit nach der Beendigung des Versicherungsverhältnisses entfallenden Teil der Prämie unter Abzug der für diese Zeit aufgewendeten Kosten zurückfordern.</w:t>
      </w:r>
    </w:p>
    <w:p>
      <w:r>
        <w:rPr>
          <w:color w:val="555555"/>
          <w:sz w:val="17"/>
        </w:rPr>
        <w:t xml:space="preserve">Zitiervorschlag: § 39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