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VVG 2008 — Leistungsort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Leistungsort für die Zahlung der Prämie ist der jeweilige Wohnsitz des Versicherungsnehmers. Der Versicherungsnehmer hat jedoch auf seine Gefahr und seine Kosten die Prämie dem Versicherer zu übermitteln.</w:t>
      </w:r>
    </w:p>
    <w:p>
      <w:r>
        <w:t xml:space="preserve">(2) Hat der Versicherungsnehmer die Versicherung in seinem Gewerbebetrieb genommen, tritt, wenn er seine gewerbliche Niederlassung an einem anderen Ort hat, der Ort der Niederlassung an die Stelle des Wohnsitzes.</w:t>
      </w:r>
    </w:p>
    <w:p>
      <w:r>
        <w:rPr>
          <w:color w:val="555555"/>
          <w:sz w:val="17"/>
        </w:rPr>
        <w:t xml:space="preserve">Zitiervorschlag: § 36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