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34 VVG 2008 — Zahlung durch Dritte</w:t>
      </w:r>
    </w:p>
    <w:p>
      <w:r>
        <w:rPr>
          <w:color w:val="555555"/>
          <w:sz w:val="18"/>
        </w:rPr>
        <w:t xml:space="preserve">Versicherungsvertragsgesetz</w:t>
      </w:r>
    </w:p>
    <w:p>
      <w:r>
        <w:rPr>
          <w:color w:val="555555"/>
          <w:sz w:val="18"/>
        </w:rPr>
        <w:t xml:space="preserve">Stand: 10.06.2019 (konsolidierte Textfassung, kein amtliches Inkrafttretensdatum)</w:t>
      </w:r>
    </w:p>
    <w:p>
      <w:r>
        <w:t xml:space="preserve">(1) Der Versicherer muss fällige Prämien oder sonstige ihm auf Grund des Vertrags zustehende Zahlungen vom Versicherten bei einer Versicherung für fremde Rechnung, von einem Bezugsberechtigten, der ein Recht auf die Leistung des Versicherers erworben hat, sowie von einem Pfandgläubiger auch dann annehmen, wenn er die Zahlung nach den Vorschriften des Bürgerlichen Gesetzbuchs zurückweisen könnte.</w:t>
      </w:r>
    </w:p>
    <w:p>
      <w:r>
        <w:t xml:space="preserve">(2) Ein Pfandrecht an der Versicherungsforderung kann auch wegen der Beträge einschließlich ihrer Zinsen geltend gemacht werden, die der Pfandgläubiger zur Zahlung von Prämien oder zu sonstigen dem Versicherer auf Grund des Vertrags zustehenden Zahlungen verwendet hat.</w:t>
      </w:r>
    </w:p>
    <w:p>
      <w:r>
        <w:rPr>
          <w:color w:val="555555"/>
          <w:sz w:val="17"/>
        </w:rPr>
        <w:t xml:space="preserve">Zitiervorschlag: § 34 VVG 2008</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https://recht.nulegal.eu/gesetze/VVG%202008/34</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