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VVG 2008 — Fälligkeit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Versicherungsnehmer hat eine einmalige Prämie oder, wenn laufende Prämien vereinbart sind, die erste Prämie unverzüglich nach Ablauf von 14 Tagen nach Zugang des Versicherungsscheins zu zahlen.</w:t>
      </w:r>
    </w:p>
    <w:p>
      <w:r>
        <w:t xml:space="preserve">(2) Ist die Prämie zuletzt vom Versicherer eingezogen worden, ist der Versicherungsnehmer zur Übermittlung der Prämie erst verpflichtet, wenn er vom Versicherer hierzu in Textform aufgefordert worden ist.</w:t>
      </w:r>
    </w:p>
    <w:p>
      <w:r>
        <w:rPr>
          <w:color w:val="555555"/>
          <w:sz w:val="17"/>
        </w:rPr>
        <w:t xml:space="preserve">Zitiervorschlag: § 33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