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 VVG 2008 — Anzeige des Versicherungsfalles</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(1) Der Versicherungsnehmer hat den Eintritt des Versicherungsfalles, nachdem er von ihm Kenntnis erlangt hat, dem Versicherer unverzüglich anzuzeigen. Steht das Recht auf die vertragliche Leistung des Versicherers einem Dritten zu, ist auch dieser zur Anzeige verpflichtet.</w:t>
      </w:r>
    </w:p>
    <w:p>
      <w:r>
        <w:t xml:space="preserve">(2) Auf eine Vereinbarung, nach welcher der Versicherer im Fall der Verletzung der Anzeigepflicht nach Absatz 1 Satz 1 nicht zur Leistung verpflichtet ist, kann sich der Versicherer nicht berufen, wenn er auf andere Weise vom Eintritt des Versicherungsfalles rechtzeitig Kenntnis erlangt hat.</w:t>
      </w:r>
    </w:p>
    <w:p>
      <w:r>
        <w:rPr>
          <w:color w:val="555555"/>
          <w:sz w:val="17"/>
        </w:rPr>
        <w:t xml:space="preserve">Zitiervorschlag: § 30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