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VVG 2008 — Prämienerhöhung wegen Gefahrerhöhung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Versicherer kann an Stelle einer Kündigung ab dem Zeitpunkt der Gefahrerhöhung eine seinen Geschäftsgrundsätzen für diese höhere Gefahr entsprechende Prämie verlangen oder die Absicherung der höheren Gefahr ausschließen. Für das Erlöschen dieses Rechtes gilt § 24 Abs. 3 entsprechend.</w:t>
      </w:r>
    </w:p>
    <w:p>
      <w:r>
        <w:t xml:space="preserve">(2) Erhöht sich die Prämie als Folge der Gefahrerhöhung um mehr als 10 Prozent oder schließt der Versicherer die Absicherung der höheren Gefahr aus, kann der Versicherungsnehmer den Vertrag innerhalb eines Monats nach Zugang der Mitteilung des Versicherers ohne Einhaltung einer Frist kündigen. Der Versicherer hat den Versicherungsnehmer in der Mitteilung auf dieses Recht hinzuweisen.</w:t>
      </w:r>
    </w:p>
    <w:p>
      <w:r>
        <w:rPr>
          <w:color w:val="555555"/>
          <w:sz w:val="17"/>
        </w:rPr>
        <w:t xml:space="preserve">Zitiervorschlag: § 25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