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VVG 2008 — Kündigung wegen Gefahrerhöhung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Verletzt der Versicherungsnehmer seine Verpflichtung nach § 23 Abs. 1, kann der Versicherer den Vertrag ohne Einhaltung einer Frist kündigen, es sei denn, der Versicherungsnehmer hat die Verpflichtung weder vorsätzlich noch grob fahrlässig verletzt. Beruht die Verletzung auf einfacher Fahrlässigkeit, kann der Versicherer unter Einhaltung einer Frist von einem Monat kündigen.</w:t>
      </w:r>
    </w:p>
    <w:p>
      <w:r>
        <w:t xml:space="preserve">(2) In den Fällen einer Gefahrerhöhung nach § 23 Abs. 2 und 3 kann der Versicherer den Vertrag unter Einhaltung einer Frist von einem Monat kündigen.</w:t>
      </w:r>
    </w:p>
    <w:p>
      <w:r>
        <w:t xml:space="preserve">(3) Das Kündigungsrecht nach den Absätzen 1 und 2 erlischt, wenn es nicht innerhalb eines Monats ab der Kenntnis des Versicherers von der Erhöhung der Gefahr ausgeübt wird oder wenn der Zustand wiederhergestellt ist, der vor der Gefahrerhöhung bestanden hat.</w:t>
      </w:r>
    </w:p>
    <w:p>
      <w:r>
        <w:rPr>
          <w:color w:val="555555"/>
          <w:sz w:val="17"/>
        </w:rPr>
        <w:t xml:space="preserve">Zitiervorschlag: § 24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