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VVG 2008 — Gefahrerhöhung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Versicherungsnehmer darf nach Abgabe seiner Vertragserklärung ohne Einwilligung des Versicherers keine Gefahrerhöhung vornehmen oder deren Vornahme durch einen Dritten gestatten.</w:t>
      </w:r>
    </w:p>
    <w:p>
      <w:r>
        <w:t xml:space="preserve">(2) Erkennt der Versicherungsnehmer nachträglich, dass er ohne Einwilligung des Versicherers eine Gefahrerhöhung vorgenommen oder gestattet hat, hat er die Gefahrerhöhung dem Versicherer unverzüglich anzuzeigen.</w:t>
      </w:r>
    </w:p>
    <w:p>
      <w:r>
        <w:t xml:space="preserve">(3) Tritt nach Abgabe der Vertragserklärung des Versicherungsnehmers eine Gefahrerhöhung unabhängig von seinem Willen ein, hat er die Gefahrerhöhung, nachdem er von ihr Kenntnis erlangt hat, dem Versicherer unverzüglich anzuzeigen.</w:t>
      </w:r>
    </w:p>
    <w:p>
      <w:r>
        <w:rPr>
          <w:color w:val="555555"/>
          <w:sz w:val="17"/>
        </w:rPr>
        <w:t xml:space="preserve">Zitiervorschlag: § 23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