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 VVG 2008 — Großrisiken, laufende Versicherung</w:t>
      </w:r>
    </w:p>
    <w:p>
      <w:r>
        <w:rPr>
          <w:color w:val="555555"/>
          <w:sz w:val="18"/>
        </w:rPr>
        <w:t xml:space="preserve">Versicherungsvertragsgesetz</w:t>
      </w:r>
    </w:p>
    <w:p>
      <w:r>
        <w:rPr>
          <w:color w:val="555555"/>
          <w:sz w:val="18"/>
        </w:rPr>
        <w:t xml:space="preserve">Stand: 17.04.2024 (konsolidierte Textfassung, kein amtliches Inkrafttretensdatum)</w:t>
      </w:r>
    </w:p>
    <w:p>
      <w:r>
        <w:t xml:space="preserve">(1) Die Beschränkungen der Vertragsfreiheit nach diesem Gesetz sind auf Großrisiken und auf laufende Versicherungen nicht anzuwenden.</w:t>
      </w:r>
    </w:p>
    <w:p>
      <w:r>
        <w:t xml:space="preserve">(2) Großrisiken im Sinne dieser Vorschrift sind:</w:t>
      </w:r>
    </w:p>
    <w:p>
      <w:pPr>
        <w:ind w:left="420"/>
      </w:pPr>
      <w:r>
        <w:t xml:space="preserve">1. Risiken der unter den Nummern 4 bis 7, 10 Buchstabe b sowie den Nummern 11 und 12 der Anlage 1 zum Versicherungsaufsichtsgesetz erfassten Transport- und Haftpflichtversicherungen,</w:t>
      </w:r>
    </w:p>
    <w:p>
      <w:pPr>
        <w:ind w:left="420"/>
      </w:pPr>
      <w:r>
        <w:t xml:space="preserve">2. Risiken der unter den Nummern 14 und 15 der Anlage 1 zum Versicherungsaufsichtsgesetz erfassten Kredit- und Kautionsversicherungen bei Versicherungsnehmern, die eine gewerbliche, bergbauliche oder freiberufliche Tätigkeit ausüben, wenn die Risiken damit in Zusammenhang stehen, oder</w:t>
      </w:r>
    </w:p>
    <w:p>
      <w:pPr>
        <w:ind w:left="420"/>
      </w:pPr>
      <w:r>
        <w:t xml:space="preserve">3. Risiken der unter den Nummern 3, 8, 9, 10, 13 und 16 der Anlage 1 zum Versicherungsaufsichtsgesetz erfassten Sach-, Haftpflicht- und sonstigen Schadensversicherungen bei Versicherungsnehmern, die mindestens zwei der folgenden drei Merkmale überschreiten:</w:t>
      </w:r>
    </w:p>
    <w:p>
      <w:pPr>
        <w:ind w:left="780"/>
      </w:pPr>
      <w:r>
        <w:t xml:space="preserve">a) 6 600 000 Euro Bilanzsumme,</w:t>
      </w:r>
    </w:p>
    <w:p>
      <w:pPr>
        <w:ind w:left="780"/>
      </w:pPr>
      <w:r>
        <w:t xml:space="preserve">b) 13 600 000 Euro Nettoumsatzerlöse,</w:t>
      </w:r>
    </w:p>
    <w:p>
      <w:pPr>
        <w:ind w:left="780"/>
      </w:pPr>
      <w:r>
        <w:t xml:space="preserve">c) im Durchschnitt 250 Arbeitnehmer pro Wirtschaftsjahr.</w:t>
      </w:r>
    </w:p>
    <w:p>
      <w:r>
        <w:t xml:space="preserve">Gehört der Versicherungsnehmer zu einem Konzern, der nach § 290 des Handelsgesetzbuchs, nach § 11 des Publizitätsgesetzes vom 15. August 1969 (BGBl. I S. 1189) in der jeweils gültigen Fassung oder nach dem mit den Anforderungen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übereinstimmenden Recht eines anderen Mitgliedstaats der Europäischen Gemeinschaft oder eines anderen Vertragsstaats des Abkommens über den Europäischen Wirtschaftsraum einen Konzernabschluss aufzustellen hat, so sind für die Feststellung der Unternehmensgröße die Zahlen des Konzernabschlusses maßgebend.</w:t>
      </w:r>
    </w:p>
    <w:p>
      <w:r>
        <w:rPr>
          <w:color w:val="555555"/>
          <w:sz w:val="17"/>
        </w:rPr>
        <w:t xml:space="preserve">Zitiervorschlag: § 210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