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VVG 2008 — Ausübung der Rechte des Versicherers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muss die ihm nach § 19 Abs. 2 bis 4 zustehenden Rechte innerhalb eines Monats schriftlich geltend machen. Die Frist beginnt mit dem Zeitpunkt, zu dem der Versicherer von der Verletzung der Anzeigepflicht, die das von ihm geltend gemachte Recht begründet, Kenntnis erlangt. Der Versicherer hat bei der Ausübung seiner Rechte die Umstände anzugeben, auf die er seine Erklärung stützt; er darf nachträglich weitere Umstände zur Begründung seiner Erklärung angeben, wenn für diese die Frist nach Satz 1 nicht verstrichen ist.</w:t>
      </w:r>
    </w:p>
    <w:p>
      <w:r>
        <w:t xml:space="preserve">(2) Im Fall eines Rücktrittes nach § 19 Abs. 2 nach Eintritt des Versicherungsfalles ist der Versicherer nicht zur Leistung verpflichtet, es sei denn, die Verletzung der Anzeigepflicht bezieht sich auf einen Umstand, der weder für den Eintritt oder die Feststellung des Versicherungsfalles noch für die Feststellung oder den Umfang der Leistungspflicht des Versicherers ursächlich ist. Hat der Versicherungsnehmer die Anzeigepflicht arglistig verletzt, ist der Versicherer nicht zur Leistung verpflichtet.</w:t>
      </w:r>
    </w:p>
    <w:p>
      <w:r>
        <w:t xml:space="preserve">(3) Die Rechte des Versicherers nach § 19 Abs. 2 bis 4 erlöschen nach Ablauf von fünf Jahren nach Vertragsschluss; dies gilt nicht für Versicherungsfälle, die vor Ablauf dieser Frist eingetreten sind. Hat der Versicherungsnehmer die Anzeigepflicht vorsätzlich oder arglistig verletzt, beläuft sich die Frist auf zehn Jahre.</w:t>
      </w:r>
    </w:p>
    <w:p>
      <w:r>
        <w:rPr>
          <w:color w:val="555555"/>
          <w:sz w:val="17"/>
        </w:rPr>
        <w:t xml:space="preserve">Zitiervorschlag: § 21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