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187 VVG 2008 — Anerkenntnis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hat nach einem Leistungsantrag innerhalb eines Monats nach Vorlage der zu dessen Beurteilung erforderlichen Unterlagen in Textform zu erklären, ob und in welchem Umfang er seine Leistungspflicht anerkennt. Wird eine Invaliditätsleistung beantragt, beträgt die Frist drei Monate.</w:t>
      </w:r>
    </w:p>
    <w:p>
      <w:r>
        <w:t xml:space="preserve">(2) Erkennt der Versicherer den Anspruch an oder haben sich Versicherungsnehmer und Versicherer über Grund und Höhe des Anspruchs geeinigt, wird die Leistung innerhalb von zwei Wochen fällig. Steht die Leistungspflicht nur dem Grunde nach fest, hat der Versicherer auf Verlangen des Versicherungsnehmers einen angemessenen Vorschuss zu leisten.</w:t>
      </w:r>
    </w:p>
    <w:p>
      <w:r>
        <w:rPr>
          <w:color w:val="555555"/>
          <w:sz w:val="17"/>
        </w:rPr>
        <w:t xml:space="preserve">Zitiervorschlag: § 187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