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186 VVG 2008 — Hinweispflicht des Versicherers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Zeigt der Versicherungsnehmer einen Versicherungsfall an, hat der Versicherer ihn auf vertragliche Anspruchs- und Fälligkeitsvoraussetzungen sowie einzuhaltende Fristen in Textform hinzuweisen. Unterbleibt dieser Hinweis, kann sich der Versicherer auf Fristversäumnis nicht berufen.</w:t>
      </w:r>
    </w:p>
    <w:p>
      <w:r>
        <w:rPr>
          <w:color w:val="555555"/>
          <w:sz w:val="17"/>
        </w:rPr>
        <w:t xml:space="preserve">Zitiervorschlag: § 186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https://recht.nulegal.eu/gesetze/VVG%202008/186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