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 VVG 2008 — Abwendung und Minderung des Schadens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82 und 83 sind auf die Unfallversicherung nicht anzuwenden.</w:t>
      </w:r>
    </w:p>
    <w:p>
      <w:r>
        <w:rPr>
          <w:color w:val="555555"/>
          <w:sz w:val="17"/>
        </w:rPr>
        <w:t xml:space="preserve">Zitiervorschlag: § 184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