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183 VVG 2008 — Herbeiführung des Versicherungsfalles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Versicherer ist nicht zur Leistung verpflichtet, wenn im Fall des § 179 Abs. 2 der Versicherungsnehmer vorsätzlich durch eine widerrechtliche Handlung den Versicherungsfall herbeiführt.</w:t>
      </w:r>
    </w:p>
    <w:p>
      <w:r>
        <w:t xml:space="preserve">(2) Ist ein Dritter als Bezugsberechtigter bezeichnet, gilt die Bezeichnung als nicht erfolgt, wenn der Dritte vorsätzlich durch eine widerrechtliche Handlung den Versicherungsfall herbeiführt.</w:t>
      </w:r>
    </w:p>
    <w:p>
      <w:r>
        <w:rPr>
          <w:color w:val="555555"/>
          <w:sz w:val="17"/>
        </w:rPr>
        <w:t xml:space="preserve">Zitiervorschlag: § 183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