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181 VVG 2008 — Gefahrerhöhung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Als Erhöhung der Gefahr gilt nur eine solche Änderung der Umstände, die nach ausdrücklicher Vereinbarung als Gefahrerhöhung angesehen werden soll; die Vereinbarung bedarf der Textform.</w:t>
      </w:r>
    </w:p>
    <w:p>
      <w:r>
        <w:t xml:space="preserve">(2) Ergeben sich im Fall einer erhöhten Gefahr nach dem geltenden Tarif des Versicherers bei unveränderter Prämie niedrigere Versicherungsleistungen, gelten diese mit Ablauf eines Monats nach Eintritt der Gefahrerhöhung als vereinbart. Weitergehende Rechte kann der Versicherer nur geltend machen, wenn der Versicherungsnehmer die Gefahrerhöhung arglistig nicht angezeigt hat.</w:t>
      </w:r>
    </w:p>
    <w:p>
      <w:r>
        <w:rPr>
          <w:color w:val="555555"/>
          <w:sz w:val="17"/>
        </w:rPr>
        <w:t xml:space="preserve">Zitiervorschlag: § 181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