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18 VVG 2008 — Abweichende Vereinbarungen</w:t>
      </w:r>
    </w:p>
    <w:p>
      <w:r>
        <w:rPr>
          <w:color w:val="555555"/>
          <w:sz w:val="18"/>
        </w:rPr>
        <w:t xml:space="preserve">Versicherungsvertragsgesetz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Von § 3 Abs. 1 bis 4, § 5 Abs. 1 bis 3, den §§ 6 bis 9 und 11 Abs. 2 bis 4, § 14 Abs. 2 Satz 1 und § 15 kann nicht zum Nachteil des Versicherungsnehmers abgewichen werden.</w:t>
      </w:r>
    </w:p>
    <w:p>
      <w:r>
        <w:rPr>
          <w:color w:val="555555"/>
          <w:sz w:val="17"/>
        </w:rPr>
        <w:t xml:space="preserve">Zitiervorschlag: § 18 VVG 2008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https://recht.nulegal.eu/gesetze/VVG%202008/18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