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 VVG 2008 — Versicherte Person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Die Unfallversicherung kann für den Eintritt eines Unfalles des Versicherungsnehmers oder eines anderen genommen werden. Eine Versicherung gegen Unfälle eines anderen gilt im Zweifel als für Rechnung des anderen genommen.</w:t>
      </w:r>
    </w:p>
    <w:p>
      <w:r>
        <w:t xml:space="preserve">(2) Wird die Versicherung gegen Unfälle eines anderen von dem Versicherungsnehmer für eigene Rechnung genommen, ist zur Wirksamkeit des Vertrags die schriftliche Einwilligung des anderen erforderlich. Ist der andere geschäftsunfähig oder in der Geschäftsfähigkeit beschränkt oder ist für ihn ein Betreuer bestellt und steht die Vertretung in den seine Person betreffenden Angelegenheiten dem Versicherungsnehmer zu, kann dieser den anderen bei der Erteilung der Einwilligung nicht vertreten.</w:t>
      </w:r>
    </w:p>
    <w:p>
      <w:r>
        <w:t xml:space="preserve">(3) Soweit im Fall des Absatzes 2 nach diesem Gesetz die Kenntnis und das Verhalten des Versicherungsnehmers von rechtlicher Bedeutung sind, sind auch die Kenntnis und das Verhalten des anderen zu berücksichtigen.</w:t>
      </w:r>
    </w:p>
    <w:p>
      <w:r>
        <w:rPr>
          <w:color w:val="555555"/>
          <w:sz w:val="17"/>
        </w:rPr>
        <w:t xml:space="preserve">Zitiervorschlag: § 179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