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177 VVG 2008 — Ähnliche Versicherungsverträge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173 bis 176 sind auf alle Versicherungsverträge, bei denen der Versicherer für eine dauerhafte Beeinträchtigung der Arbeitsfähigkeit eine Leistung verspricht, entsprechend anzuwenden.</w:t>
      </w:r>
    </w:p>
    <w:p>
      <w:r>
        <w:t xml:space="preserve">(2) Auf die Unfallversicherung sowie auf Krankenversicherungsverträge, die das Risiko der Beeinträchtigung der Arbeitsfähigkeit zum Gegenstand haben, ist Absatz 1 nicht anzuwenden.</w:t>
      </w:r>
    </w:p>
    <w:p>
      <w:r>
        <w:rPr>
          <w:color w:val="555555"/>
          <w:sz w:val="17"/>
        </w:rPr>
        <w:t xml:space="preserve">Zitiervorschlag: § 177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