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VVG 2008 — Leistungsfreiheit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der Versicherer fest, dass die Voraussetzungen der Leistungspflicht entfallen sind, wird er nur leistungsfrei, wenn er dem Versicherungsnehmer diese Veränderung in Textform dargelegt hat.</w:t>
      </w:r>
    </w:p>
    <w:p>
      <w:r>
        <w:t xml:space="preserve">(2) Der Versicherer wird frühestens mit dem Ablauf des dritten Monats nach Zugang der Erklärung nach Absatz 1 beim Versicherungsnehmer leistungsfrei.</w:t>
      </w:r>
    </w:p>
    <w:p>
      <w:r>
        <w:rPr>
          <w:color w:val="555555"/>
          <w:sz w:val="17"/>
        </w:rPr>
        <w:t xml:space="preserve">Zitiervorschlag: § 174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