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173 VVG 2008 — Anerkenntnis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Versicherer hat nach einem Leistungsantrag bei Fälligkeit in Textform zu erklären, ob er seine Leistungspflicht anerkennt.</w:t>
      </w:r>
    </w:p>
    <w:p>
      <w:r>
        <w:t xml:space="preserve">(2) Das Anerkenntnis darf nur einmal zeitlich begrenzt werden. Es ist bis zum Ablauf der Frist bindend.</w:t>
      </w:r>
    </w:p>
    <w:p>
      <w:r>
        <w:rPr>
          <w:color w:val="555555"/>
          <w:sz w:val="17"/>
        </w:rPr>
        <w:t xml:space="preserve">Zitiervorschlag: § 173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