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 VVG 2008 — Abweichende Vereinbarungen</w:t>
      </w:r>
    </w:p>
    <w:p>
      <w:r>
        <w:rPr>
          <w:color w:val="555555"/>
          <w:sz w:val="18"/>
        </w:rPr>
        <w:t xml:space="preserve">Versicherungsvertragsgesetz</w:t>
      </w:r>
    </w:p>
    <w:p>
      <w:r>
        <w:rPr>
          <w:color w:val="555555"/>
          <w:sz w:val="18"/>
        </w:rPr>
        <w:t xml:space="preserve">Stand: 19.06.2026 (konsolidierte Textfassung, kein amtliches Inkrafttretensdatum)</w:t>
      </w:r>
    </w:p>
    <w:p>
      <w:r>
        <w:t xml:space="preserve">Von § 152 Absatz 1 bis 4 und den §§ 153 bis 155, 157, 158, 161 und 163 bis 170 kann nicht zum Nachteil des Versicherungsnehmers, der versicherten Person oder des Eintrittsberechtigten abgewichen werden. Für das Verlangen des Versicherungsnehmers auf Umwandlung nach § 165 und für seine Kündigung nach § 168 kann die Schrift- oder die Textform vereinbart werden.</w:t>
      </w:r>
    </w:p>
    <w:p>
      <w:r>
        <w:rPr>
          <w:color w:val="555555"/>
          <w:sz w:val="17"/>
        </w:rPr>
        <w:t xml:space="preserve">Zitiervorschlag: § 171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