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VVG 2008 — Kündigung des Versicherungsnehmers</w:t>
      </w:r>
    </w:p>
    <w:p>
      <w:r>
        <w:rPr>
          <w:color w:val="555555"/>
          <w:sz w:val="18"/>
        </w:rPr>
        <w:t xml:space="preserve">Versicherungsvertragsgesetz</w:t>
      </w:r>
    </w:p>
    <w:p>
      <w:r>
        <w:rPr>
          <w:color w:val="555555"/>
          <w:sz w:val="18"/>
        </w:rPr>
        <w:t xml:space="preserve">Stand: 01.01.2023 (konsolidierte Textfassung, kein amtliches Inkrafttretensdatum)</w:t>
      </w:r>
    </w:p>
    <w:p>
      <w:r>
        <w:t xml:space="preserve">(1) Sind laufende Prämien zu zahlen, kann der Versicherungsnehmer das Versicherungsverhältnis jederzeit für den Schluss der laufenden Versicherungsperiode kündigen.</w:t>
      </w:r>
    </w:p>
    <w:p>
      <w:r>
        <w:t xml:space="preserve">(2) Bei einer Versicherung, die Versicherungsschutz für ein Risiko bietet, bei dem der Eintritt der Verpflichtung des Versicherers gewiss ist, steht das Kündigungsrecht dem Versicherungsnehmer auch dann zu, wenn die Prämie in einer einmaligen Zahlung besteht.</w:t>
      </w:r>
    </w:p>
    <w:p>
      <w:r>
        <w:t xml:space="preserve">(3) Die Absätze 1 und 2 sind nicht auf einen für die Altersvorsorge bestimmten Versicherungsvertrag anzuwenden,</w:t>
      </w:r>
    </w:p>
    <w:p>
      <w:pPr>
        <w:ind w:left="420"/>
      </w:pPr>
      <w:r>
        <w:t xml:space="preserve">1. wenn die Vertragsparteien bei einem nach § 5a des Altersvorsorgeverträge-Zertifizierungsgesetzes zertifizierten Basisrentenvertrag die Verwertung der Ansprüche gemäß § 10 Absatz 1 Nummer 2 Satz 1 Buchstabe b des Einkommensteuergesetzes ausgeschlossen haben oder</w:t>
      </w:r>
    </w:p>
    <w:p>
      <w:pPr>
        <w:ind w:left="420"/>
      </w:pPr>
      <w:r>
        <w:t xml:space="preserve">2. soweit die Vertragsparteien eine Verwertung unwiderruflich ausgeschlossen haben und dieser Ausschluss erforderlich ist, um den Pfändungsschutz nach § 851c der Zivilprozessordnung oder § 851d der Zivilprozessordnung herbeizuführen.</w:t>
      </w:r>
    </w:p>
    <w:p>
      <w:r>
        <w:rPr>
          <w:color w:val="555555"/>
          <w:sz w:val="17"/>
        </w:rPr>
        <w:t xml:space="preserve">Zitiervorschlag: § 168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