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167 VVG 2008 — Umwandlung zur Erlangung eines Pfändungsschutzes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Versicherungsnehmer einer Lebensversicherung kann jederzeit für den Schluss der laufenden Versicherungsperiode die Umwandlung der Versicherung in eine Versicherung verlangen, die den Anforderungen des § 851c Abs. 1 der Zivilprozessordnung entspricht. Die Kosten der Umwandlung hat der Versicherungsnehmer zu tragen.</w:t>
      </w:r>
    </w:p>
    <w:p>
      <w:r>
        <w:rPr>
          <w:color w:val="555555"/>
          <w:sz w:val="17"/>
        </w:rPr>
        <w:t xml:space="preserve">Zitiervorschlag: § 167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https://recht.nulegal.eu/gesetze/VVG%202008/167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