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163 VVG 2008 — Prämien- und Leistungsänderung</w:t>
      </w:r>
    </w:p>
    <w:p>
      <w:r>
        <w:rPr>
          <w:color w:val="555555"/>
          <w:sz w:val="18"/>
        </w:rPr>
        <w:t xml:space="preserve">Versicherungsvertragsgesetz</w:t>
      </w:r>
    </w:p>
    <w:p>
      <w:r>
        <w:rPr>
          <w:color w:val="555555"/>
          <w:sz w:val="18"/>
        </w:rPr>
        <w:t xml:space="preserve">Stand: 10.06.2019 (konsolidierte Textfassung, kein amtliches Inkrafttretensdatum)</w:t>
      </w:r>
    </w:p>
    <w:p>
      <w:r>
        <w:t xml:space="preserve">(1) Der Versicherer ist zu einer Neufestsetzung der vereinbarten Prämie berechtigt, wenn</w:t>
      </w:r>
    </w:p>
    <w:p>
      <w:pPr>
        <w:ind w:left="420"/>
      </w:pPr>
      <w:r>
        <w:t xml:space="preserve">1. sich der Leistungsbedarf nicht nur vorübergehend und nicht voraussehbar gegenüber den Rechnungsgrundlagen der vereinbarten Prämie geändert hat,</w:t>
      </w:r>
    </w:p>
    <w:p>
      <w:pPr>
        <w:ind w:left="420"/>
      </w:pPr>
      <w:r>
        <w:t xml:space="preserve">2. die nach den berichtigten Rechnungsgrundlagen neu festgesetzte Prämie angemessen und erforderlich ist, um die dauernde Erfüllbarkeit der Versicherungsleistung zu gewährleisten, und</w:t>
      </w:r>
    </w:p>
    <w:p>
      <w:pPr>
        <w:ind w:left="420"/>
      </w:pPr>
      <w:r>
        <w:t xml:space="preserve">3. ein unabhängiger Treuhänder die Rechnungsgrundlagen und die Voraussetzungen der Nummern 1 und 2 überprüft und bestätigt hat.</w:t>
      </w:r>
    </w:p>
    <w:p>
      <w:r>
        <w:t xml:space="preserve">Eine Neufestsetzung der Prämie ist insoweit ausgeschlossen, als die Versicherungsleistungen zum Zeitpunkt der Erst- oder Neukalkulation unzureichend kalkuliert waren und ein ordentlicher und gewissenhafter Aktuar dies insbesondere anhand der zu diesem Zeitpunkt verfügbaren statistischen Kalkulationsgrundlagen hätte erkennen müssen.</w:t>
      </w:r>
    </w:p>
    <w:p>
      <w:r>
        <w:t xml:space="preserve">(2) Der Versicherungsnehmer kann verlangen, dass an Stelle einer Erhöhung der Prämie nach Absatz 1 die Versicherungsleistung entsprechend herabgesetzt wird. Bei einer prämienfreien Versicherung ist der Versicherer unter den Voraussetzungen des Absatzes 1 zur Herabsetzung der Versicherungsleistung berechtigt.</w:t>
      </w:r>
    </w:p>
    <w:p>
      <w:r>
        <w:t xml:space="preserve">(3) Die Neufestsetzung der Prämie und die Herabsetzung der Versicherungsleistung werden zu Beginn des zweiten Monats wirksam, der auf die Mitteilung der Neufestsetzung oder der Herabsetzung und der hierfür maßgeblichen Gründe an den Versicherungsnehmer folgt.</w:t>
      </w:r>
    </w:p>
    <w:p>
      <w:r>
        <w:t xml:space="preserve">(4) Die Mitwirkung des Treuhänders nach Absatz 1 Satz 1 Nr. 3 entfällt, wenn die Neufestsetzung oder die Herabsetzung der Versicherungsleistung der Genehmigung der Aufsichtsbehörde bedarf.</w:t>
      </w:r>
    </w:p>
    <w:p>
      <w:r>
        <w:rPr>
          <w:color w:val="555555"/>
          <w:sz w:val="17"/>
        </w:rPr>
        <w:t xml:space="preserve">Zitiervorschlag: § 163 VVG 2008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https://recht.nulegal.eu/gesetze/VVG%202008/163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