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 VVG 2008 — Selbsttötung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einer Versicherung für den Todesfall ist der Versicherer nicht zur Leistung verpflichtet, wenn die versicherte Person sich vor Ablauf von drei Jahren nach Abschluss des Versicherungsvertrags vorsätzlich selbst getötet hat. Dies gilt nicht, wenn die Tat in einem die freie Willensbestimmung ausschließenden Zustand krankhafter Störung der Geistestätigkeit begangen worden ist.</w:t>
      </w:r>
    </w:p>
    <w:p>
      <w:r>
        <w:t xml:space="preserve">(2) Die Frist nach Absatz 1 Satz 1 kann durch Einzelvereinbarung erhöht werden.</w:t>
      </w:r>
    </w:p>
    <w:p>
      <w:r>
        <w:t xml:space="preserve">(3) Ist der Versicherer nicht zur Leistung verpflichtet, hat er den Rückkaufswert einschließlich der Überschussanteile nach § 169 zu zahlen.</w:t>
      </w:r>
    </w:p>
    <w:p>
      <w:r>
        <w:rPr>
          <w:color w:val="555555"/>
          <w:sz w:val="17"/>
        </w:rPr>
        <w:t xml:space="preserve">Zitiervorschlag: § 161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