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160 VVG 2008 — Auslegung der Bezugsberechtigung</w:t>
      </w:r>
    </w:p>
    <w:p>
      <w:r>
        <w:rPr>
          <w:color w:val="555555"/>
          <w:sz w:val="18"/>
        </w:rPr>
        <w:t xml:space="preserve">Versicherungsvertragsgesetz</w:t>
      </w:r>
    </w:p>
    <w:p>
      <w:r>
        <w:rPr>
          <w:color w:val="555555"/>
          <w:sz w:val="18"/>
        </w:rPr>
        <w:t xml:space="preserve">Stand: 10.06.2019 (konsolidierte Textfassung, kein amtliches Inkrafttretensdatum)</w:t>
      </w:r>
    </w:p>
    <w:p>
      <w:r>
        <w:t xml:space="preserve">(1) Sind mehrere Personen ohne Bestimmung ihrer Anteile als Bezugsberechtigte bezeichnet, sind sie zu gleichen Teilen bezugsberechtigt. Der von einem Bezugsberechtigten nicht erworbene Anteil wächst den übrigen Bezugsberechtigten zu.</w:t>
      </w:r>
    </w:p>
    <w:p>
      <w:r>
        <w:t xml:space="preserve">(2) Soll die Leistung des Versicherers nach dem Tod des Versicherungsnehmers an dessen Erben erfolgen, sind im Zweifel diejenigen, welche zur Zeit des Todes als Erben berufen sind, nach dem Verhältnis ihrer Erbteile bezugsberechtigt. Eine Ausschlagung der Erbschaft hat auf die Berechtigung keinen Einfluss.</w:t>
      </w:r>
    </w:p>
    <w:p>
      <w:r>
        <w:t xml:space="preserve">(3) Wird das Recht auf die Leistung des Versicherers von dem bezugsberechtigten Dritten nicht erworben, steht es dem Versicherungsnehmer zu.</w:t>
      </w:r>
    </w:p>
    <w:p>
      <w:r>
        <w:t xml:space="preserve">(4) Ist der Fiskus als Erbe berufen, steht ihm ein Bezugsrecht im Sinn des Absatzes 2 Satz 1 nicht zu.</w:t>
      </w:r>
    </w:p>
    <w:p>
      <w:r>
        <w:rPr>
          <w:color w:val="555555"/>
          <w:sz w:val="17"/>
        </w:rPr>
        <w:t xml:space="preserve">Zitiervorschlag: § 160 VVG 2008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https://recht.nulegal.eu/gesetze/VVG%202008/160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