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VVG 2008 — Insolvenz des Versicherers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über das Vermögen des Versicherers das Insolvenzverfahren eröffnet, endet das Versicherungsverhältnis mit Ablauf eines Monats seit der Eröffnung; bis zu diesem Zeitpunkt bleibt es der Insolvenzmasse gegenüber wirksam.</w:t>
      </w:r>
    </w:p>
    <w:p>
      <w:r>
        <w:t xml:space="preserve">(2) Die Vorschriften des Versicherungsaufsichtsgesetzes über die Wirkungen der Insolvenzeröffnung bleiben unberührt.</w:t>
      </w:r>
    </w:p>
    <w:p>
      <w:r>
        <w:rPr>
          <w:color w:val="555555"/>
          <w:sz w:val="17"/>
        </w:rPr>
        <w:t xml:space="preserve">Zitiervorschlag: § 16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