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159 VVG 2008 — Bezugsberechtigung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Versicherungsnehmer ist im Zweifel berechtigt, ohne Zustimmung des Versicherers einen Dritten als Bezugsberechtigten zu bezeichnen sowie an die Stelle des so bezeichneten Dritten einen anderen zu setzen.</w:t>
      </w:r>
    </w:p>
    <w:p>
      <w:r>
        <w:t xml:space="preserve">(2) Ein widerruflich als bezugsberechtigt bezeichneter Dritter erwirbt das Recht auf die Leistung des Versicherers erst mit dem Eintritt des Versicherungsfalles.</w:t>
      </w:r>
    </w:p>
    <w:p>
      <w:r>
        <w:t xml:space="preserve">(3) Ein unwiderruflich als bezugsberechtigt bezeichneter Dritter erwirbt das Recht auf die Leistung des Versicherers bereits mit der Bezeichnung als Bezugsberechtigter.</w:t>
      </w:r>
    </w:p>
    <w:p>
      <w:r>
        <w:rPr>
          <w:color w:val="555555"/>
          <w:sz w:val="17"/>
        </w:rPr>
        <w:t xml:space="preserve">Zitiervorschlag: § 159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https://recht.nulegal.eu/gesetze/VVG%202008/159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