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VVG 2008 — Gefahränderung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Erhöhung der Gefahr gilt nur eine solche Änderung der Gefahrumstände, die nach ausdrücklicher Vereinbarung als Gefahrerhöhung angesehen werden soll; die Vereinbarung bedarf der Textform.</w:t>
      </w:r>
    </w:p>
    <w:p>
      <w:r>
        <w:t xml:space="preserve">(2) Eine Erhöhung der Gefahr kann der Versicherer nicht mehr geltend machen, wenn seit der Erhöhung fünf Jahre verstrichen sind. Hat der Versicherungsnehmer seine Verpflichtung nach § 23 vorsätzlich oder arglistig verletzt, beläuft sich die Frist auf zehn Jahre.</w:t>
      </w:r>
    </w:p>
    <w:p>
      <w:r>
        <w:t xml:space="preserve">(3) § 41 ist mit der Maßgabe anzuwenden, dass eine Herabsetzung der Prämie nur wegen einer solchen Minderung der Gefahrumstände verlangt werden kann, die nach ausdrücklicher Vereinbarung als Gefahrminderung angesehen werden soll.</w:t>
      </w:r>
    </w:p>
    <w:p>
      <w:r>
        <w:rPr>
          <w:color w:val="555555"/>
          <w:sz w:val="17"/>
        </w:rPr>
        <w:t xml:space="preserve">Zitiervorschlag: § 158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