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148 VVG 2008 — Andere Grundpfandrechte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das Grundstück mit einer Grundschuld, Rentenschuld oder Reallast belastet, sind die §§ 142 bis 147 entsprechend anzuwenden.</w:t>
      </w:r>
    </w:p>
    <w:p>
      <w:r>
        <w:rPr>
          <w:color w:val="555555"/>
          <w:sz w:val="17"/>
        </w:rPr>
        <w:t xml:space="preserve">Zitiervorschlag: § 148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https://recht.nulegal.eu/gesetze/VVG%202008/148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