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144 VVG 2008 — Kündigung des Versicherungsnehmers</w:t>
      </w:r>
    </w:p>
    <w:p>
      <w:r>
        <w:rPr>
          <w:color w:val="555555"/>
          <w:sz w:val="18"/>
        </w:rPr>
        <w:t xml:space="preserve">Versicherungsvertragsgesetz</w:t>
      </w:r>
    </w:p>
    <w:p>
      <w:r>
        <w:rPr>
          <w:color w:val="555555"/>
          <w:sz w:val="18"/>
        </w:rPr>
        <w:t xml:space="preserve">Stand: 10.06.2019 (konsolidierte Textfassung, kein amtliches Inkrafttretensdatum)</w:t>
      </w:r>
    </w:p>
    <w:p>
      <w:r>
        <w:t xml:space="preserve">Hat ein Hypothekengläubiger seine Hypothek angemeldet, ist eine Kündigung des Versicherungsverhältnisses durch den Versicherungsnehmer unbeschadet des § 92 Abs. 1 und des § 96 Abs. 2 nur wirksam, wenn der Versicherungsnehmer mindestens einen Monat vor Ablauf des Versicherungsvertrags nachgewiesen hat, dass zu dem Zeitpunkt, zu dem die Kündigung spätestens zulässig war, das Grundstück nicht mit der Hypothek belastet war oder dass der Hypothekengläubiger der Kündigung zugestimmt hat. Die Zustimmung darf nicht ohne ausreichenden Grund verweigert werden.</w:t>
      </w:r>
    </w:p>
    <w:p>
      <w:r>
        <w:rPr>
          <w:color w:val="555555"/>
          <w:sz w:val="17"/>
        </w:rPr>
        <w:t xml:space="preserve">Zitiervorschlag: § 144 VVG 2008</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https://recht.nulegal.eu/gesetze/VVG%202008/144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