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VVG 2008 — Anzeigen an Hypothekengläubiger</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Bei der Gebäudefeuerversicherung hat der Versicherer einem Hypothekengläubiger, der seine Hypothek angemeldet hat, unverzüglich in Textform anzuzeigen, wenn die einmalige oder die erste Prämie nicht rechtzeitig gezahlt oder wenn dem Versicherungsnehmer für die Zahlung einer Folgeprämie eine Frist bestimmt wird. Dies gilt auch, wenn das Versicherungsverhältnis nach Ablauf der Frist wegen unterbliebener Zahlung der Folgeprämie gekündigt wird.</w:t>
      </w:r>
    </w:p>
    <w:p>
      <w:r>
        <w:t xml:space="preserve">(2) Der Versicherer hat den Eintritt des Versicherungsfalles innerhalb einer Woche, nachdem er von ihm Kenntnis erlangt hat, einem Hypothekengläubiger, der seine Hypothek angemeldet hat, in Textform anzuzeigen, es sei denn, der Schaden ist unbedeutend.</w:t>
      </w:r>
    </w:p>
    <w:p>
      <w:r>
        <w:rPr>
          <w:color w:val="555555"/>
          <w:sz w:val="17"/>
        </w:rPr>
        <w:t xml:space="preserve">Zitiervorschlag: § 142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